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pos="1985"/>
        </w:tabs>
        <w:spacing w:after="120" w:before="120" w:lineRule="auto"/>
        <w:ind w:left="1656" w:hanging="720"/>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DEFINITIONS</w:t>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expressions shall have the following meanings:</w:t>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 Review"</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"Benchmarked Deliverables"</w:t>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Rates"</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Deliverables"</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"Comparison Group"</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"Equivalent Data"</w:t>
            </w:r>
          </w:p>
        </w:tc>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Value"</w:t>
            </w:r>
          </w:p>
        </w:tc>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"Upper Quartile"</w:t>
            </w:r>
          </w:p>
        </w:tc>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w:t>
            </w:r>
            <w:r w:rsidDel="00000000" w:rsidR="00000000" w:rsidRPr="00000000">
              <w:rPr>
                <w:rFonts w:ascii="Arial" w:cs="Arial" w:eastAsia="Arial" w:hAnsi="Arial"/>
                <w:color w:val="000000"/>
                <w:sz w:val="24"/>
                <w:szCs w:val="24"/>
                <w:rtl w:val="0"/>
              </w:rPr>
              <w:t xml:space="preserve"> of Benchmarked Rates, </w:t>
            </w:r>
            <w:r w:rsidDel="00000000" w:rsidR="00000000" w:rsidRPr="00000000">
              <w:rPr>
                <w:rFonts w:ascii="Arial" w:cs="Arial" w:eastAsia="Arial" w:hAnsi="Arial"/>
                <w:sz w:val="24"/>
                <w:szCs w:val="24"/>
                <w:rtl w:val="0"/>
              </w:rPr>
              <w:t xml:space="preserve">based</w:t>
            </w:r>
            <w:r w:rsidDel="00000000" w:rsidR="00000000" w:rsidRPr="00000000">
              <w:rPr>
                <w:rFonts w:ascii="Arial" w:cs="Arial" w:eastAsia="Arial" w:hAnsi="Arial"/>
                <w:color w:val="000000"/>
                <w:sz w:val="24"/>
                <w:szCs w:val="24"/>
                <w:rtl w:val="0"/>
              </w:rPr>
              <w:t xml:space="preserve">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When you should use this Schedule</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this Schedule shall not fall with the definition of a Cost.</w:t>
      </w:r>
    </w:p>
    <w:p w:rsidR="00000000" w:rsidDel="00000000" w:rsidP="00000000" w:rsidRDefault="00000000" w:rsidRPr="00000000" w14:paraId="00000019">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Benchmarking</w:t>
      </w:r>
    </w:p>
    <w:p w:rsidR="00000000" w:rsidDel="00000000" w:rsidP="00000000" w:rsidRDefault="00000000" w:rsidRPr="00000000" w14:paraId="0000001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benchmarking works</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may, by written notice to the Supplier, require a Benchmark Review of any or all of the Deliverables.</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that are to be the Benchmarked Deliverables will be identified by the Buyer in writing.</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Benchmarking Process</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benchmarker shall produce and send to the Buyer, for Approval, a draft plan for the Benchmark Review which must include:</w:t>
      </w:r>
    </w:p>
    <w:p w:rsidR="00000000" w:rsidDel="00000000" w:rsidP="00000000" w:rsidRDefault="00000000" w:rsidRPr="00000000" w14:paraId="00000024">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proposed cost and timetable for the Benchmark Review;</w:t>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how the benchmarker will scope and identify the Comparison Group. </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it has received the Approval of the draft plan, the benchmarker shall:</w:t>
      </w:r>
    </w:p>
    <w:p w:rsidR="00000000" w:rsidDel="00000000" w:rsidP="00000000" w:rsidRDefault="00000000" w:rsidRPr="00000000" w14:paraId="0000002B">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finalise the Comparison Group and collect data relating to Comparable Rates. The selection of the Comparable Rates (both in terms of number and identity) shall be a matter for the Supplier's professional </w:t>
      </w:r>
      <w:r w:rsidDel="00000000" w:rsidR="00000000" w:rsidRPr="00000000">
        <w:rPr>
          <w:rFonts w:ascii="Arial" w:cs="Arial" w:eastAsia="Arial" w:hAnsi="Arial"/>
          <w:color w:val="000000"/>
          <w:sz w:val="24"/>
          <w:szCs w:val="24"/>
          <w:rtl w:val="0"/>
        </w:rPr>
        <w:t xml:space="preserve">judgment</w:t>
      </w:r>
      <w:r w:rsidDel="00000000" w:rsidR="00000000" w:rsidRPr="00000000">
        <w:rPr>
          <w:rFonts w:ascii="Arial" w:cs="Arial" w:eastAsia="Arial" w:hAnsi="Arial"/>
          <w:color w:val="000000"/>
          <w:sz w:val="24"/>
          <w:szCs w:val="24"/>
          <w:rtl w:val="0"/>
        </w:rPr>
        <w:t xml:space="preserve"> using:</w:t>
      </w:r>
    </w:p>
    <w:p w:rsidR="00000000" w:rsidDel="00000000" w:rsidP="00000000" w:rsidRDefault="00000000" w:rsidRPr="00000000" w14:paraId="0000002C">
      <w:pPr>
        <w:numPr>
          <w:ilvl w:val="4"/>
          <w:numId w:val="1"/>
        </w:numPr>
        <w:pBdr>
          <w:top w:space="0" w:sz="0" w:val="nil"/>
          <w:left w:space="0" w:sz="0" w:val="nil"/>
          <w:bottom w:space="0" w:sz="0" w:val="nil"/>
          <w:right w:space="0" w:sz="0" w:val="nil"/>
          <w:between w:space="0" w:sz="0" w:val="nil"/>
        </w:pBdr>
        <w:tabs>
          <w:tab w:val="left" w:pos="3119"/>
        </w:tabs>
        <w:spacing w:after="120" w:before="120" w:lineRule="auto"/>
        <w:ind w:left="1440" w:firstLine="111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market intelligence;</w:t>
      </w:r>
    </w:p>
    <w:p w:rsidR="00000000" w:rsidDel="00000000" w:rsidP="00000000" w:rsidRDefault="00000000" w:rsidRPr="00000000" w14:paraId="0000002D">
      <w:pPr>
        <w:numPr>
          <w:ilvl w:val="4"/>
          <w:numId w:val="1"/>
        </w:numPr>
        <w:pBdr>
          <w:top w:space="0" w:sz="0" w:val="nil"/>
          <w:left w:space="0" w:sz="0" w:val="nil"/>
          <w:bottom w:space="0" w:sz="0" w:val="nil"/>
          <w:right w:space="0" w:sz="0" w:val="nil"/>
          <w:between w:space="0" w:sz="0" w:val="nil"/>
        </w:pBdr>
        <w:tabs>
          <w:tab w:val="left" w:pos="3119"/>
        </w:tabs>
        <w:spacing w:after="120" w:before="120" w:lineRule="auto"/>
        <w:ind w:left="1440" w:firstLine="111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benchmarker’s own data and experience;</w:t>
      </w:r>
    </w:p>
    <w:p w:rsidR="00000000" w:rsidDel="00000000" w:rsidP="00000000" w:rsidRDefault="00000000" w:rsidRPr="00000000" w14:paraId="0000002E">
      <w:pPr>
        <w:numPr>
          <w:ilvl w:val="4"/>
          <w:numId w:val="1"/>
        </w:numPr>
        <w:pBdr>
          <w:top w:space="0" w:sz="0" w:val="nil"/>
          <w:left w:space="0" w:sz="0" w:val="nil"/>
          <w:bottom w:space="0" w:sz="0" w:val="nil"/>
          <w:right w:space="0" w:sz="0" w:val="nil"/>
          <w:between w:space="0" w:sz="0" w:val="nil"/>
        </w:pBdr>
        <w:tabs>
          <w:tab w:val="left" w:pos="3119"/>
        </w:tabs>
        <w:spacing w:after="120" w:before="120" w:lineRule="auto"/>
        <w:ind w:left="1440" w:firstLine="111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published information; and</w:t>
      </w:r>
    </w:p>
    <w:p w:rsidR="00000000" w:rsidDel="00000000" w:rsidP="00000000" w:rsidRDefault="00000000" w:rsidRPr="00000000" w14:paraId="0000002F">
      <w:pPr>
        <w:numPr>
          <w:ilvl w:val="4"/>
          <w:numId w:val="1"/>
        </w:numPr>
        <w:pBdr>
          <w:top w:space="0" w:sz="0" w:val="nil"/>
          <w:left w:space="0" w:sz="0" w:val="nil"/>
          <w:bottom w:space="0" w:sz="0" w:val="nil"/>
          <w:right w:space="0" w:sz="0" w:val="nil"/>
          <w:between w:space="0" w:sz="0" w:val="nil"/>
        </w:pBdr>
        <w:tabs>
          <w:tab w:val="left" w:pos="3119"/>
        </w:tabs>
        <w:spacing w:after="120" w:before="120" w:lineRule="auto"/>
        <w:ind w:left="3119" w:hanging="566.9999999999999"/>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pursuant to Paragraph 3.2.6  below, information from other suppliers or purchasers on Comparable Rates;</w:t>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using the Equivalent Data, calculate the Upper Quartile;</w:t>
      </w:r>
    </w:p>
    <w:p w:rsidR="00000000" w:rsidDel="00000000" w:rsidP="00000000" w:rsidRDefault="00000000" w:rsidRPr="00000000" w14:paraId="00000032">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determine whether or not each Benchmarked Rate is, and/or the Benchmarked Rates as a whole are, Good Value.</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exchange rates;</w:t>
      </w:r>
    </w:p>
    <w:p w:rsidR="00000000" w:rsidDel="00000000" w:rsidP="00000000" w:rsidRDefault="00000000" w:rsidRPr="00000000" w14:paraId="00000037">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Benchmarking Report</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this Schedule "Benchmarking Report" shall mean the report produced by the benchmarker following the Benchmark Review and as further described in this Schedule;</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Parties agree that any changes required to this Contract identified in the Benchmarking Report shall be implemented at the direction of the Buyer in accordance with Clause 24 of the Core Terms (Changing the contract). </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16 (Benchmarking)</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pPr>
    <w:rPr>
      <w:rFonts w:cs="Arial" w:eastAsia="Times New Roma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24ptyiYyIPDdV/7zxjM0w69MQBw==">AMUW2mX3YIrpR+28zklg7dsszkSIr3Qp2DP9SrmsI19CNOjgMNn1IfnGox67pgXmnJRmTeTMKuvgc4RO/eFgrSm6VQtzi+QLzgESWGUkto/AteoinES0qhd/1gV6VfdipLIBUYDdAU67RthusRdG3JJ5ARMEglH/B9oHdVxiQ+2BHnx+vtYm80X7BomSpXI1x7lXdHxVU4SFG0rEEN/au0qHFjUSf4I/8w==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2022-08-03T12:22:00Z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